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Теоретические основы обучения и воспитания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«Теоретические основы обучения и воспитания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«Теоретические основы обучения и воспитания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«Теоретические основы обучения и воспитания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«Теоретические основы обучения и воспитания в начальной школе»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 ПК-3</w:t>
            </w:r>
          </w:p>
        </w:tc>
      </w:tr>
      <w:tr>
        <w:trPr>
          <w:trHeight w:hRule="exact" w:val="138.9152"/>
        </w:trPr>
        <w:tc>
          <w:tcPr>
            <w:tcW w:w="3970" w:type="dxa"/>
          </w:tcPr>
          <w:p/>
        </w:tc>
        <w:tc>
          <w:tcPr>
            <w:tcW w:w="4679" w:type="dxa"/>
          </w:tcPr>
          <w:p/>
        </w:tc>
        <w:tc>
          <w:tcPr>
            <w:tcW w:w="993" w:type="dxa"/>
          </w:tcPr>
          <w:p/>
        </w:tc>
      </w:tr>
      <w:tr>
        <w:trPr>
          <w:trHeight w:hRule="exact" w:val="801.59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деятельность – ведущий вид деятельности младшего школьного возраста. Общая характеристика учебной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обучения. Технология традиционного обучения. Развивающее обучение в отечественной образовательной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мотивации. Интерес.</w:t>
            </w:r>
          </w:p>
          <w:p>
            <w:pPr>
              <w:jc w:val="both"/>
              <w:spacing w:after="0" w:line="240" w:lineRule="auto"/>
              <w:rPr>
                <w:sz w:val="24"/>
                <w:szCs w:val="24"/>
              </w:rPr>
            </w:pPr>
            <w:r>
              <w:rPr>
                <w:rFonts w:ascii="Times New Roman" w:hAnsi="Times New Roman" w:cs="Times New Roman"/>
                <w:color w:val="#000000"/>
                <w:sz w:val="24"/>
                <w:szCs w:val="24"/>
              </w:rPr>
              <w:t> 2.	Мотивационные ориентации и успешность деятельности.</w:t>
            </w:r>
          </w:p>
          <w:p>
            <w:pPr>
              <w:jc w:val="both"/>
              <w:spacing w:after="0" w:line="240" w:lineRule="auto"/>
              <w:rPr>
                <w:sz w:val="24"/>
                <w:szCs w:val="24"/>
              </w:rPr>
            </w:pPr>
            <w:r>
              <w:rPr>
                <w:rFonts w:ascii="Times New Roman" w:hAnsi="Times New Roman" w:cs="Times New Roman"/>
                <w:color w:val="#000000"/>
                <w:sz w:val="24"/>
                <w:szCs w:val="24"/>
              </w:rPr>
              <w:t> 3.	Внешние и внутренние мотивы. Мотивация на процесс и результат.</w:t>
            </w:r>
          </w:p>
          <w:p>
            <w:pPr>
              <w:jc w:val="both"/>
              <w:spacing w:after="0" w:line="240" w:lineRule="auto"/>
              <w:rPr>
                <w:sz w:val="24"/>
                <w:szCs w:val="24"/>
              </w:rPr>
            </w:pPr>
            <w:r>
              <w:rPr>
                <w:rFonts w:ascii="Times New Roman" w:hAnsi="Times New Roman" w:cs="Times New Roman"/>
                <w:color w:val="#000000"/>
                <w:sz w:val="24"/>
                <w:szCs w:val="24"/>
              </w:rPr>
              <w:t> 4.	Пирамида  потребностей А. Маслоу.</w:t>
            </w:r>
          </w:p>
          <w:p>
            <w:pPr>
              <w:jc w:val="both"/>
              <w:spacing w:after="0" w:line="240" w:lineRule="auto"/>
              <w:rPr>
                <w:sz w:val="24"/>
                <w:szCs w:val="24"/>
              </w:rPr>
            </w:pPr>
            <w:r>
              <w:rPr>
                <w:rFonts w:ascii="Times New Roman" w:hAnsi="Times New Roman" w:cs="Times New Roman"/>
                <w:color w:val="#000000"/>
                <w:sz w:val="24"/>
                <w:szCs w:val="24"/>
              </w:rPr>
              <w:t> 5.	 Отношение к учению в мотивационной сфере.</w:t>
            </w:r>
          </w:p>
          <w:p>
            <w:pPr>
              <w:jc w:val="both"/>
              <w:spacing w:after="0" w:line="240" w:lineRule="auto"/>
              <w:rPr>
                <w:sz w:val="24"/>
                <w:szCs w:val="24"/>
              </w:rPr>
            </w:pPr>
            <w:r>
              <w:rPr>
                <w:rFonts w:ascii="Times New Roman" w:hAnsi="Times New Roman" w:cs="Times New Roman"/>
                <w:color w:val="#000000"/>
                <w:sz w:val="24"/>
                <w:szCs w:val="24"/>
              </w:rPr>
              <w:t> 6.	Связь умственного развития и мотивации.</w:t>
            </w:r>
          </w:p>
          <w:p>
            <w:pPr>
              <w:jc w:val="both"/>
              <w:spacing w:after="0" w:line="240" w:lineRule="auto"/>
              <w:rPr>
                <w:sz w:val="24"/>
                <w:szCs w:val="24"/>
              </w:rPr>
            </w:pPr>
            <w:r>
              <w:rPr>
                <w:rFonts w:ascii="Times New Roman" w:hAnsi="Times New Roman" w:cs="Times New Roman"/>
                <w:color w:val="#000000"/>
                <w:sz w:val="24"/>
                <w:szCs w:val="24"/>
              </w:rPr>
              <w:t> 7.	Мотивация и целеполагание.</w:t>
            </w:r>
          </w:p>
          <w:p>
            <w:pPr>
              <w:jc w:val="both"/>
              <w:spacing w:after="0" w:line="240" w:lineRule="auto"/>
              <w:rPr>
                <w:sz w:val="24"/>
                <w:szCs w:val="24"/>
              </w:rPr>
            </w:pPr>
            <w:r>
              <w:rPr>
                <w:rFonts w:ascii="Times New Roman" w:hAnsi="Times New Roman" w:cs="Times New Roman"/>
                <w:color w:val="#000000"/>
                <w:sz w:val="24"/>
                <w:szCs w:val="24"/>
              </w:rPr>
              <w:t> 8.	Устойчивость учебной мотивации.</w:t>
            </w:r>
          </w:p>
          <w:p>
            <w:pPr>
              <w:jc w:val="both"/>
              <w:spacing w:after="0" w:line="240" w:lineRule="auto"/>
              <w:rPr>
                <w:sz w:val="24"/>
                <w:szCs w:val="24"/>
              </w:rPr>
            </w:pPr>
            <w:r>
              <w:rPr>
                <w:rFonts w:ascii="Times New Roman" w:hAnsi="Times New Roman" w:cs="Times New Roman"/>
                <w:color w:val="#000000"/>
                <w:sz w:val="24"/>
                <w:szCs w:val="24"/>
              </w:rPr>
              <w:t> 9.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10.	Общая характеристика усвоения. Подходы к определению усвоения.</w:t>
            </w:r>
          </w:p>
          <w:p>
            <w:pPr>
              <w:jc w:val="both"/>
              <w:spacing w:after="0" w:line="240" w:lineRule="auto"/>
              <w:rPr>
                <w:sz w:val="24"/>
                <w:szCs w:val="24"/>
              </w:rPr>
            </w:pPr>
            <w:r>
              <w:rPr>
                <w:rFonts w:ascii="Times New Roman" w:hAnsi="Times New Roman" w:cs="Times New Roman"/>
                <w:color w:val="#000000"/>
                <w:sz w:val="24"/>
                <w:szCs w:val="24"/>
              </w:rPr>
              <w:t> 11.	Структурная организация усвоения.</w:t>
            </w:r>
          </w:p>
          <w:p>
            <w:pPr>
              <w:jc w:val="both"/>
              <w:spacing w:after="0" w:line="240" w:lineRule="auto"/>
              <w:rPr>
                <w:sz w:val="24"/>
                <w:szCs w:val="24"/>
              </w:rPr>
            </w:pPr>
            <w:r>
              <w:rPr>
                <w:rFonts w:ascii="Times New Roman" w:hAnsi="Times New Roman" w:cs="Times New Roman"/>
                <w:color w:val="#000000"/>
                <w:sz w:val="24"/>
                <w:szCs w:val="24"/>
              </w:rPr>
              <w:t> 12.	Этапы усвоения по С.Л. Рубинштейну.</w:t>
            </w:r>
          </w:p>
          <w:p>
            <w:pPr>
              <w:jc w:val="both"/>
              <w:spacing w:after="0" w:line="240" w:lineRule="auto"/>
              <w:rPr>
                <w:sz w:val="24"/>
                <w:szCs w:val="24"/>
              </w:rPr>
            </w:pPr>
            <w:r>
              <w:rPr>
                <w:rFonts w:ascii="Times New Roman" w:hAnsi="Times New Roman" w:cs="Times New Roman"/>
                <w:color w:val="#000000"/>
                <w:sz w:val="24"/>
                <w:szCs w:val="24"/>
              </w:rPr>
              <w:t> 13.	Основные характеристики усвоения.</w:t>
            </w:r>
          </w:p>
          <w:p>
            <w:pPr>
              <w:jc w:val="both"/>
              <w:spacing w:after="0" w:line="240" w:lineRule="auto"/>
              <w:rPr>
                <w:sz w:val="24"/>
                <w:szCs w:val="24"/>
              </w:rPr>
            </w:pPr>
            <w:r>
              <w:rPr>
                <w:rFonts w:ascii="Times New Roman" w:hAnsi="Times New Roman" w:cs="Times New Roman"/>
                <w:color w:val="#000000"/>
                <w:sz w:val="24"/>
                <w:szCs w:val="24"/>
              </w:rPr>
              <w:t> 14.	Навык в процессе усвоения.</w:t>
            </w:r>
          </w:p>
          <w:p>
            <w:pPr>
              <w:jc w:val="both"/>
              <w:spacing w:after="0" w:line="240" w:lineRule="auto"/>
              <w:rPr>
                <w:sz w:val="24"/>
                <w:szCs w:val="24"/>
              </w:rPr>
            </w:pPr>
            <w:r>
              <w:rPr>
                <w:rFonts w:ascii="Times New Roman" w:hAnsi="Times New Roman" w:cs="Times New Roman"/>
                <w:color w:val="#000000"/>
                <w:sz w:val="24"/>
                <w:szCs w:val="24"/>
              </w:rPr>
              <w:t> 15.	Развитие навыка по Л.Б. Ительсону.</w:t>
            </w:r>
          </w:p>
          <w:p>
            <w:pPr>
              <w:jc w:val="both"/>
              <w:spacing w:after="0" w:line="240" w:lineRule="auto"/>
              <w:rPr>
                <w:sz w:val="24"/>
                <w:szCs w:val="24"/>
              </w:rPr>
            </w:pPr>
            <w:r>
              <w:rPr>
                <w:rFonts w:ascii="Times New Roman" w:hAnsi="Times New Roman" w:cs="Times New Roman"/>
                <w:color w:val="#000000"/>
                <w:sz w:val="24"/>
                <w:szCs w:val="24"/>
              </w:rPr>
              <w:t> 16.	 Факторы, влияющие на формирование навыка.</w:t>
            </w:r>
          </w:p>
          <w:p>
            <w:pPr>
              <w:jc w:val="both"/>
              <w:spacing w:after="0" w:line="240" w:lineRule="auto"/>
              <w:rPr>
                <w:sz w:val="24"/>
                <w:szCs w:val="24"/>
              </w:rPr>
            </w:pPr>
            <w:r>
              <w:rPr>
                <w:rFonts w:ascii="Times New Roman" w:hAnsi="Times New Roman" w:cs="Times New Roman"/>
                <w:color w:val="#000000"/>
                <w:sz w:val="24"/>
                <w:szCs w:val="24"/>
              </w:rPr>
              <w:t> 17.	Закономерности формирования навыка.</w:t>
            </w:r>
          </w:p>
          <w:p>
            <w:pPr>
              <w:jc w:val="both"/>
              <w:spacing w:after="0" w:line="240" w:lineRule="auto"/>
              <w:rPr>
                <w:sz w:val="24"/>
                <w:szCs w:val="24"/>
              </w:rPr>
            </w:pPr>
            <w:r>
              <w:rPr>
                <w:rFonts w:ascii="Times New Roman" w:hAnsi="Times New Roman" w:cs="Times New Roman"/>
                <w:color w:val="#000000"/>
                <w:sz w:val="24"/>
                <w:szCs w:val="24"/>
              </w:rPr>
              <w:t> 18.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воспитания и его место в системе факторов развития личности.</w:t>
            </w:r>
          </w:p>
          <w:p>
            <w:pPr>
              <w:jc w:val="both"/>
              <w:spacing w:after="0" w:line="240" w:lineRule="auto"/>
              <w:rPr>
                <w:sz w:val="24"/>
                <w:szCs w:val="24"/>
              </w:rPr>
            </w:pPr>
            <w:r>
              <w:rPr>
                <w:rFonts w:ascii="Times New Roman" w:hAnsi="Times New Roman" w:cs="Times New Roman"/>
                <w:color w:val="#000000"/>
                <w:sz w:val="24"/>
                <w:szCs w:val="24"/>
              </w:rPr>
              <w:t> 2.	Личность ребенка как объект и субъект воспитания.</w:t>
            </w:r>
          </w:p>
          <w:p>
            <w:pPr>
              <w:jc w:val="both"/>
              <w:spacing w:after="0" w:line="240" w:lineRule="auto"/>
              <w:rPr>
                <w:sz w:val="24"/>
                <w:szCs w:val="24"/>
              </w:rPr>
            </w:pPr>
            <w:r>
              <w:rPr>
                <w:rFonts w:ascii="Times New Roman" w:hAnsi="Times New Roman" w:cs="Times New Roman"/>
                <w:color w:val="#000000"/>
                <w:sz w:val="24"/>
                <w:szCs w:val="24"/>
              </w:rPr>
              <w:t> 3.	Самовоспитание личности.</w:t>
            </w:r>
          </w:p>
          <w:p>
            <w:pPr>
              <w:jc w:val="both"/>
              <w:spacing w:after="0" w:line="240" w:lineRule="auto"/>
              <w:rPr>
                <w:sz w:val="24"/>
                <w:szCs w:val="24"/>
              </w:rPr>
            </w:pPr>
            <w:r>
              <w:rPr>
                <w:rFonts w:ascii="Times New Roman" w:hAnsi="Times New Roman" w:cs="Times New Roman"/>
                <w:color w:val="#000000"/>
                <w:sz w:val="24"/>
                <w:szCs w:val="24"/>
              </w:rPr>
              <w:t> 4.	Различные подходы в организации воспитания (личностный индивидуальный, деятельностный, системный средовой и др.).</w:t>
            </w:r>
          </w:p>
          <w:p>
            <w:pPr>
              <w:jc w:val="both"/>
              <w:spacing w:after="0" w:line="240" w:lineRule="auto"/>
              <w:rPr>
                <w:sz w:val="24"/>
                <w:szCs w:val="24"/>
              </w:rPr>
            </w:pPr>
            <w:r>
              <w:rPr>
                <w:rFonts w:ascii="Times New Roman" w:hAnsi="Times New Roman" w:cs="Times New Roman"/>
                <w:color w:val="#000000"/>
                <w:sz w:val="24"/>
                <w:szCs w:val="24"/>
              </w:rPr>
              <w:t> 5.	Технологии воспитания.</w:t>
            </w:r>
          </w:p>
          <w:p>
            <w:pPr>
              <w:jc w:val="both"/>
              <w:spacing w:after="0" w:line="240" w:lineRule="auto"/>
              <w:rPr>
                <w:sz w:val="24"/>
                <w:szCs w:val="24"/>
              </w:rPr>
            </w:pPr>
            <w:r>
              <w:rPr>
                <w:rFonts w:ascii="Times New Roman" w:hAnsi="Times New Roman" w:cs="Times New Roman"/>
                <w:color w:val="#000000"/>
                <w:sz w:val="24"/>
                <w:szCs w:val="24"/>
              </w:rPr>
              <w:t> 6.	Классификация технологий, характеристика воспитательных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обучения. Технология традиционного обучения. Развивающее обучение в отечественной образовательной системе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цель, предмет, существенные признаки технологии обучения.</w:t>
            </w:r>
          </w:p>
          <w:p>
            <w:pPr>
              <w:jc w:val="both"/>
              <w:spacing w:after="0" w:line="240" w:lineRule="auto"/>
              <w:rPr>
                <w:sz w:val="24"/>
                <w:szCs w:val="24"/>
              </w:rPr>
            </w:pPr>
            <w:r>
              <w:rPr>
                <w:rFonts w:ascii="Times New Roman" w:hAnsi="Times New Roman" w:cs="Times New Roman"/>
                <w:color w:val="#000000"/>
                <w:sz w:val="24"/>
                <w:szCs w:val="24"/>
              </w:rPr>
              <w:t> 2.	Структура педагогической системы как системообразующий фактор технологии обучения.</w:t>
            </w:r>
          </w:p>
          <w:p>
            <w:pPr>
              <w:jc w:val="both"/>
              <w:spacing w:after="0" w:line="240" w:lineRule="auto"/>
              <w:rPr>
                <w:sz w:val="24"/>
                <w:szCs w:val="24"/>
              </w:rPr>
            </w:pPr>
            <w:r>
              <w:rPr>
                <w:rFonts w:ascii="Times New Roman" w:hAnsi="Times New Roman" w:cs="Times New Roman"/>
                <w:color w:val="#000000"/>
                <w:sz w:val="24"/>
                <w:szCs w:val="24"/>
              </w:rPr>
              <w:t> 3.	Слагаемые технологии обучения.</w:t>
            </w:r>
          </w:p>
          <w:p>
            <w:pPr>
              <w:jc w:val="both"/>
              <w:spacing w:after="0" w:line="240" w:lineRule="auto"/>
              <w:rPr>
                <w:sz w:val="24"/>
                <w:szCs w:val="24"/>
              </w:rPr>
            </w:pPr>
            <w:r>
              <w:rPr>
                <w:rFonts w:ascii="Times New Roman" w:hAnsi="Times New Roman" w:cs="Times New Roman"/>
                <w:color w:val="#000000"/>
                <w:sz w:val="24"/>
                <w:szCs w:val="24"/>
              </w:rPr>
              <w:t> 4.	Историческая обусловленность идеи развивающего обучения. Поиски путей разви- вающего обучения в России.</w:t>
            </w:r>
          </w:p>
          <w:p>
            <w:pPr>
              <w:jc w:val="both"/>
              <w:spacing w:after="0" w:line="240" w:lineRule="auto"/>
              <w:rPr>
                <w:sz w:val="24"/>
                <w:szCs w:val="24"/>
              </w:rPr>
            </w:pPr>
            <w:r>
              <w:rPr>
                <w:rFonts w:ascii="Times New Roman" w:hAnsi="Times New Roman" w:cs="Times New Roman"/>
                <w:color w:val="#000000"/>
                <w:sz w:val="24"/>
                <w:szCs w:val="24"/>
              </w:rPr>
              <w:t> 5.	Развивающее обучение как дидактическая категория в педагогике (основные поня-тия; соотношение обучения и развития; содержание понятия “развитие”).</w:t>
            </w:r>
          </w:p>
          <w:p>
            <w:pPr>
              <w:jc w:val="both"/>
              <w:spacing w:after="0" w:line="240" w:lineRule="auto"/>
              <w:rPr>
                <w:sz w:val="24"/>
                <w:szCs w:val="24"/>
              </w:rPr>
            </w:pPr>
            <w:r>
              <w:rPr>
                <w:rFonts w:ascii="Times New Roman" w:hAnsi="Times New Roman" w:cs="Times New Roman"/>
                <w:color w:val="#000000"/>
                <w:sz w:val="24"/>
                <w:szCs w:val="24"/>
              </w:rPr>
              <w:t> 6.	Характеристика сущностных признаков развивающего обучения. Состояние проблемы развития начальной школы в системе общего образования.</w:t>
            </w:r>
          </w:p>
          <w:p>
            <w:pPr>
              <w:jc w:val="both"/>
              <w:spacing w:after="0" w:line="240" w:lineRule="auto"/>
              <w:rPr>
                <w:sz w:val="24"/>
                <w:szCs w:val="24"/>
              </w:rPr>
            </w:pPr>
            <w:r>
              <w:rPr>
                <w:rFonts w:ascii="Times New Roman" w:hAnsi="Times New Roman" w:cs="Times New Roman"/>
                <w:color w:val="#000000"/>
                <w:sz w:val="24"/>
                <w:szCs w:val="24"/>
              </w:rPr>
              <w:t> 7.	Основные положения в функционировании развивающего обучения в начальной школ</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обучения и развития.</w:t>
            </w:r>
          </w:p>
          <w:p>
            <w:pPr>
              <w:jc w:val="left"/>
              <w:spacing w:after="0" w:line="240" w:lineRule="auto"/>
              <w:rPr>
                <w:sz w:val="24"/>
                <w:szCs w:val="24"/>
              </w:rPr>
            </w:pPr>
            <w:r>
              <w:rPr>
                <w:rFonts w:ascii="Times New Roman" w:hAnsi="Times New Roman" w:cs="Times New Roman"/>
                <w:color w:val="#000000"/>
                <w:sz w:val="24"/>
                <w:szCs w:val="24"/>
              </w:rPr>
              <w:t> 2.	Структура интеллекта.</w:t>
            </w:r>
          </w:p>
          <w:p>
            <w:pPr>
              <w:jc w:val="left"/>
              <w:spacing w:after="0" w:line="240" w:lineRule="auto"/>
              <w:rPr>
                <w:sz w:val="24"/>
                <w:szCs w:val="24"/>
              </w:rPr>
            </w:pPr>
            <w:r>
              <w:rPr>
                <w:rFonts w:ascii="Times New Roman" w:hAnsi="Times New Roman" w:cs="Times New Roman"/>
                <w:color w:val="#000000"/>
                <w:sz w:val="24"/>
                <w:szCs w:val="24"/>
              </w:rPr>
              <w:t> 3.	Уровни умственного развития по Л.С.Выготскому. Возрастные периоды развития личности.</w:t>
            </w:r>
          </w:p>
          <w:p>
            <w:pPr>
              <w:jc w:val="left"/>
              <w:spacing w:after="0" w:line="240" w:lineRule="auto"/>
              <w:rPr>
                <w:sz w:val="24"/>
                <w:szCs w:val="24"/>
              </w:rPr>
            </w:pPr>
            <w:r>
              <w:rPr>
                <w:rFonts w:ascii="Times New Roman" w:hAnsi="Times New Roman" w:cs="Times New Roman"/>
                <w:color w:val="#000000"/>
                <w:sz w:val="24"/>
                <w:szCs w:val="24"/>
              </w:rPr>
              <w:t> 4.	Учитель и ученик – субъекты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Круглый стол "Учитель вчера, сегодня, завтра"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деятельность – ведущий вид деятельности младшего школьного возраста. Общая характеристика учебной деятельности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«Теоретические основы обучения и воспитания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62.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2024-2025_ФГОС3++2024_Маг-ОФО-ПО(НО)(24)_plx_Теоретические основы обучения и воспитания в начальной школе</dc:title>
  <dc:creator>FastReport.NET</dc:creator>
</cp:coreProperties>
</file>